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shd w:val="clear" w:color="auto" w:fill="auto"/>
          <w:lang w:val="en-US" w:eastAsia="zh-CN" w:bidi="en-US"/>
        </w:rPr>
        <w:t>附件二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  <w:t>述职评议开展安排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团总支名称：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 xml:space="preserve">  智行书院团总支         </w:t>
      </w:r>
    </w:p>
    <w:tbl>
      <w:tblPr>
        <w:tblStyle w:val="2"/>
        <w:tblW w:w="13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2357"/>
        <w:gridCol w:w="1094"/>
        <w:gridCol w:w="405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团支部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开展时间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开展方式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开展地点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团支部书记姓名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2019级本科临床医学9班团支部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2021年2月10日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线上/线下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（注：仅需线下开展的团支部填写）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5066C"/>
    <w:rsid w:val="0BC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内容"/>
    <w:qFormat/>
    <w:uiPriority w:val="0"/>
    <w:pPr>
      <w:widowControl w:val="0"/>
      <w:snapToGrid w:val="0"/>
      <w:spacing w:line="324" w:lineRule="auto"/>
      <w:ind w:firstLine="561"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2021-01-30T06:12:00Z</dcterms:created>
  <dc:creator>憨憨</dc:creator>
  <cp:lastModifiedBy>憨憨</cp:lastModifiedBy>
  <dcterms:modified xsi:type="dcterms:W3CDTF">2021-01-30T06:15:50Z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