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26" w:rsidRDefault="002833D1">
      <w:pPr>
        <w:ind w:left="417"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b w:val="0"/>
          <w:bCs w:val="0"/>
          <w:sz w:val="32"/>
          <w:szCs w:val="32"/>
        </w:rPr>
        <w:t>附件</w:t>
      </w:r>
      <w:r>
        <w:rPr>
          <w:rFonts w:ascii="黑体" w:eastAsia="黑体" w:hAnsi="黑体" w:cs="仿宋_GB2312" w:hint="eastAsia"/>
          <w:b w:val="0"/>
          <w:bCs w:val="0"/>
          <w:sz w:val="32"/>
          <w:szCs w:val="32"/>
        </w:rPr>
        <w:t>1</w:t>
      </w:r>
      <w:r>
        <w:rPr>
          <w:rFonts w:ascii="黑体" w:eastAsia="黑体" w:hAnsi="黑体" w:cs="仿宋_GB2312" w:hint="eastAsia"/>
          <w:b w:val="0"/>
          <w:bCs w:val="0"/>
          <w:sz w:val="32"/>
          <w:szCs w:val="32"/>
        </w:rPr>
        <w:t>：</w:t>
      </w:r>
      <w:r>
        <w:rPr>
          <w:rFonts w:ascii="黑体" w:eastAsia="黑体" w:hAnsi="黑体" w:cs="仿宋_GB2312"/>
          <w:b w:val="0"/>
          <w:bCs w:val="0"/>
          <w:sz w:val="32"/>
          <w:szCs w:val="32"/>
        </w:rPr>
        <w:t xml:space="preserve">        </w:t>
      </w:r>
      <w:bookmarkStart w:id="0" w:name="_GoBack"/>
      <w:r>
        <w:rPr>
          <w:rFonts w:ascii="黑体" w:eastAsia="黑体" w:hAnsi="黑体" w:cs="仿宋_GB2312" w:hint="eastAsia"/>
          <w:sz w:val="36"/>
          <w:szCs w:val="36"/>
        </w:rPr>
        <w:t>第十二届大学生职业生涯规划</w:t>
      </w:r>
      <w:bookmarkEnd w:id="0"/>
      <w:r>
        <w:rPr>
          <w:rFonts w:ascii="黑体" w:eastAsia="黑体" w:hAnsi="黑体" w:cs="仿宋_GB2312" w:hint="eastAsia"/>
          <w:sz w:val="36"/>
          <w:szCs w:val="36"/>
        </w:rPr>
        <w:t>设计书基本内容要求</w:t>
      </w:r>
    </w:p>
    <w:tbl>
      <w:tblPr>
        <w:tblW w:w="13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10499"/>
      </w:tblGrid>
      <w:tr w:rsidR="00170D26">
        <w:trPr>
          <w:trHeight w:val="3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规划步骤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 w:rsidP="00A65293">
            <w:pPr>
              <w:ind w:firstLineChars="200" w:firstLine="5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具体描述</w:t>
            </w:r>
          </w:p>
        </w:tc>
      </w:tr>
      <w:tr w:rsidR="00170D26">
        <w:trPr>
          <w:cantSplit/>
          <w:trHeight w:val="107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职业生涯规划设计书内容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自我认知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．自我分析清晰、全面、深入、客观，能清楚的认识到自己的优势和劣势。</w:t>
            </w:r>
          </w:p>
          <w:p w:rsidR="00170D26" w:rsidRDefault="002833D1" w:rsidP="00A65293">
            <w:pPr>
              <w:spacing w:line="320" w:lineRule="exact"/>
              <w:ind w:leftChars="228" w:left="841" w:hangingChars="150" w:hanging="36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．将人才测评量化分析与自我深入分析结合，客观地评价自我，职业兴趣、职业能力、行为风格、职业价值观分析全面、到位。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．从个人兴趣爱好、成长经历社会实践中分析自我。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．自我评估理论、模型应用正确、合理。</w:t>
            </w:r>
          </w:p>
        </w:tc>
      </w:tr>
      <w:tr w:rsidR="00170D26">
        <w:trPr>
          <w:cantSplit/>
          <w:trHeight w:val="1688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职业认知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．分析就业环境，了解社会的整体就业趋势，并了解大学生就业状况。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．对目标行业发展前景及现状了解清晰，并且了解行业中的就业需求。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．对行业内标杆组织的人力资源管理战略、企业文化进行分析，做到“人企匹配”</w:t>
            </w: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．对目标职位的工作职责、任职者所需技能等进行分析，做到“人岗匹配”</w:t>
            </w: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．通过对外部环境的分析，能清楚认识到自己面临的机会、挑战以及对职业发展产生的影响。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．环境评估理论、模型的应用。</w:t>
            </w:r>
          </w:p>
        </w:tc>
      </w:tr>
      <w:tr w:rsidR="00170D26">
        <w:trPr>
          <w:cantSplit/>
          <w:trHeight w:val="775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职业决策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制订职业决策需要结合自己的性格、特长和兴趣。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要考虑到实际情况，并具有可执行性。</w:t>
            </w:r>
          </w:p>
          <w:p w:rsidR="00170D26" w:rsidRDefault="002833D1" w:rsidP="00A65293">
            <w:pPr>
              <w:spacing w:line="320" w:lineRule="exact"/>
              <w:ind w:leftChars="228" w:left="721" w:hangingChars="100" w:hanging="240"/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职业决策必须有可持续发展性。职业决策不能够制订一个阶段性的目标，应该是是一连串的、可以贯穿自己整个职业发展生涯的远景展望。</w:t>
            </w:r>
          </w:p>
        </w:tc>
      </w:tr>
      <w:tr w:rsidR="00170D26">
        <w:trPr>
          <w:cantSplit/>
          <w:trHeight w:val="879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170D26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计划与路径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．行动计划（短期、中期、长期）清晰、可操作性强。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．行动计划对保持个人优势，要避免个人不足，全面提升个人竞争力，有针对性、可操作性。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．近期计划详尽、中期计划清晰并具有灵活性、长期计划具有方向性。</w:t>
            </w:r>
          </w:p>
          <w:p w:rsidR="00170D26" w:rsidRDefault="002833D1" w:rsidP="00A65293">
            <w:pPr>
              <w:spacing w:line="320" w:lineRule="exact"/>
              <w:ind w:leftChars="228" w:left="841" w:hangingChars="150" w:hanging="36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．职业目标确定和发展路径设计要符合外部环境和个人特质（兴趣、技能、特质、价值观），要符合实际、可执行、可实现。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．职业发展路径符合逻辑和现实、对实现目标而言具有可操作性和竞争力。</w:t>
            </w:r>
          </w:p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．要用长远的眼光设定职业目标，并将总目标划分成几个阶段性目标来实现。</w:t>
            </w:r>
          </w:p>
        </w:tc>
      </w:tr>
      <w:tr w:rsidR="00170D26">
        <w:trPr>
          <w:cantSplit/>
          <w:trHeight w:val="720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170D26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评估与调整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2833D1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．对行动计划和职业目标设定评估方案，如要达到什么标准，评估的要素是什么。</w:t>
            </w:r>
          </w:p>
          <w:p w:rsidR="00170D26" w:rsidRDefault="002833D1" w:rsidP="00A65293">
            <w:pPr>
              <w:spacing w:line="320" w:lineRule="exact"/>
              <w:ind w:leftChars="228" w:left="841" w:hangingChars="150" w:hanging="36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．对职业路径进行可行的、与时俱进地灵活调整，备选方案也要充分根据个人与环境的评估进行分析确定，备选路径设计与主路径要有相关联系性。</w:t>
            </w:r>
          </w:p>
        </w:tc>
      </w:tr>
      <w:tr w:rsidR="00170D26">
        <w:trPr>
          <w:cantSplit/>
          <w:trHeight w:val="619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170D26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职业道德</w:t>
            </w:r>
          </w:p>
        </w:tc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6" w:rsidRDefault="002833D1" w:rsidP="00A65293">
            <w:pPr>
              <w:spacing w:line="320" w:lineRule="exact"/>
              <w:ind w:leftChars="228" w:left="841" w:hangingChars="150" w:hanging="360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职业道德主要应包括以下几方面的内容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忠于职守，乐于奉献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;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实事求是，不弄虚作假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;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依法行事，严守秘密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;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sz w:val="24"/>
                <w:szCs w:val="24"/>
              </w:rPr>
              <w:t>公正透明，服务社会。</w:t>
            </w:r>
          </w:p>
        </w:tc>
      </w:tr>
    </w:tbl>
    <w:p w:rsidR="00170D26" w:rsidRDefault="00170D26">
      <w:pPr>
        <w:spacing w:line="320" w:lineRule="exact"/>
        <w:ind w:left="417" w:firstLineChars="200" w:firstLine="640"/>
        <w:rPr>
          <w:rFonts w:ascii="仿宋_GB2312" w:eastAsia="仿宋_GB2312"/>
          <w:b w:val="0"/>
          <w:bCs w:val="0"/>
          <w:color w:val="FF0000"/>
          <w:sz w:val="32"/>
          <w:szCs w:val="32"/>
        </w:rPr>
      </w:pPr>
    </w:p>
    <w:p w:rsidR="00170D26" w:rsidRDefault="00170D26">
      <w:pPr>
        <w:ind w:left="417" w:firstLineChars="200" w:firstLine="640"/>
        <w:rPr>
          <w:rFonts w:ascii="仿宋_GB2312" w:eastAsia="仿宋_GB2312"/>
          <w:b w:val="0"/>
          <w:bCs w:val="0"/>
          <w:color w:val="FF0000"/>
          <w:sz w:val="32"/>
          <w:szCs w:val="32"/>
        </w:rPr>
        <w:sectPr w:rsidR="00170D26">
          <w:footerReference w:type="even" r:id="rId9"/>
          <w:footerReference w:type="default" r:id="rId10"/>
          <w:pgSz w:w="16840" w:h="11907" w:orient="landscape"/>
          <w:pgMar w:top="1644" w:right="1758" w:bottom="1644" w:left="1701" w:header="851" w:footer="992" w:gutter="0"/>
          <w:paperSrc w:first="1268" w:other="1268"/>
          <w:cols w:space="720"/>
          <w:docGrid w:type="linesAndChars" w:linePitch="312"/>
        </w:sectPr>
      </w:pPr>
    </w:p>
    <w:p w:rsidR="00170D26" w:rsidRDefault="002833D1">
      <w:pPr>
        <w:rPr>
          <w:rFonts w:ascii="黑体" w:eastAsia="黑体" w:hAnsi="黑体"/>
          <w:b w:val="0"/>
          <w:bCs w:val="0"/>
          <w:color w:val="auto"/>
          <w:sz w:val="32"/>
          <w:szCs w:val="32"/>
        </w:rPr>
      </w:pPr>
      <w:r>
        <w:rPr>
          <w:rFonts w:ascii="黑体" w:eastAsia="黑体" w:hAnsi="黑体" w:cs="仿宋_GB2312" w:hint="eastAsia"/>
          <w:b w:val="0"/>
          <w:bCs w:val="0"/>
          <w:color w:val="auto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b w:val="0"/>
          <w:bCs w:val="0"/>
          <w:color w:val="auto"/>
          <w:sz w:val="32"/>
          <w:szCs w:val="32"/>
        </w:rPr>
        <w:t>2</w:t>
      </w:r>
      <w:r>
        <w:rPr>
          <w:rFonts w:ascii="黑体" w:eastAsia="黑体" w:hAnsi="黑体" w:cs="仿宋_GB2312" w:hint="eastAsia"/>
          <w:b w:val="0"/>
          <w:bCs w:val="0"/>
          <w:color w:val="auto"/>
          <w:sz w:val="32"/>
          <w:szCs w:val="32"/>
        </w:rPr>
        <w:t>：</w:t>
      </w:r>
      <w:r>
        <w:rPr>
          <w:rFonts w:ascii="黑体" w:eastAsia="黑体" w:hAnsi="黑体" w:cs="方正小标宋简体" w:hint="eastAsia"/>
          <w:color w:val="auto"/>
          <w:sz w:val="36"/>
          <w:szCs w:val="36"/>
        </w:rPr>
        <w:t>第十二届大学生职业生涯规划大赛评分标准</w:t>
      </w:r>
    </w:p>
    <w:p w:rsidR="00170D26" w:rsidRDefault="00170D26">
      <w:pPr>
        <w:ind w:firstLineChars="200" w:firstLine="482"/>
        <w:jc w:val="center"/>
        <w:rPr>
          <w:rStyle w:val="a4"/>
          <w:rFonts w:ascii="仿宋_GB2312" w:eastAsia="仿宋_GB2312"/>
          <w:b/>
          <w:color w:val="auto"/>
          <w:sz w:val="24"/>
          <w:szCs w:val="24"/>
        </w:rPr>
      </w:pPr>
    </w:p>
    <w:p w:rsidR="00170D26" w:rsidRDefault="002833D1">
      <w:pPr>
        <w:ind w:firstLineChars="200" w:firstLine="482"/>
        <w:jc w:val="center"/>
        <w:rPr>
          <w:rFonts w:ascii="仿宋_GB2312" w:eastAsia="仿宋_GB2312"/>
          <w:color w:val="auto"/>
          <w:sz w:val="24"/>
          <w:szCs w:val="24"/>
        </w:rPr>
      </w:pPr>
      <w:r>
        <w:rPr>
          <w:rStyle w:val="a4"/>
          <w:rFonts w:ascii="仿宋_GB2312" w:eastAsia="仿宋_GB2312" w:hint="eastAsia"/>
          <w:b/>
          <w:color w:val="auto"/>
          <w:sz w:val="24"/>
          <w:szCs w:val="24"/>
        </w:rPr>
        <w:t>表</w:t>
      </w:r>
      <w:r>
        <w:rPr>
          <w:rStyle w:val="a4"/>
          <w:rFonts w:ascii="仿宋_GB2312" w:eastAsia="仿宋_GB2312" w:hint="eastAsia"/>
          <w:b/>
          <w:color w:val="auto"/>
          <w:sz w:val="24"/>
          <w:szCs w:val="24"/>
        </w:rPr>
        <w:t>1</w:t>
      </w:r>
      <w:r>
        <w:rPr>
          <w:rStyle w:val="a4"/>
          <w:rFonts w:ascii="仿宋_GB2312" w:eastAsia="仿宋_GB2312" w:hint="eastAsia"/>
          <w:b/>
          <w:color w:val="auto"/>
          <w:sz w:val="24"/>
          <w:szCs w:val="24"/>
        </w:rPr>
        <w:t>：</w:t>
      </w:r>
      <w:r>
        <w:rPr>
          <w:rFonts w:ascii="仿宋_GB2312" w:eastAsia="仿宋_GB2312" w:hint="eastAsia"/>
          <w:color w:val="auto"/>
          <w:sz w:val="24"/>
          <w:szCs w:val="24"/>
        </w:rPr>
        <w:t>第十二届大学生职业生涯规划大赛复赛评分标准</w:t>
      </w:r>
    </w:p>
    <w:p w:rsidR="00170D26" w:rsidRDefault="00170D26">
      <w:pPr>
        <w:ind w:firstLineChars="200" w:firstLine="480"/>
        <w:jc w:val="center"/>
        <w:rPr>
          <w:rStyle w:val="a4"/>
          <w:rFonts w:ascii="仿宋_GB2312" w:eastAsia="仿宋_GB2312"/>
          <w:color w:val="auto"/>
          <w:sz w:val="24"/>
          <w:szCs w:val="24"/>
        </w:rPr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5146"/>
        <w:gridCol w:w="833"/>
        <w:gridCol w:w="981"/>
      </w:tblGrid>
      <w:tr w:rsidR="00170D26">
        <w:trPr>
          <w:trHeight w:val="47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选手得分情况</w:t>
            </w:r>
          </w:p>
        </w:tc>
      </w:tr>
      <w:tr w:rsidR="00170D26">
        <w:trPr>
          <w:trHeight w:val="40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完整性（</w:t>
            </w:r>
            <w:r>
              <w:rPr>
                <w:rStyle w:val="a4"/>
                <w:rFonts w:ascii="仿宋_GB2312" w:eastAsia="仿宋_GB2312" w:cs="仿宋_GB2312"/>
                <w:b/>
                <w:color w:val="auto"/>
                <w:sz w:val="24"/>
                <w:szCs w:val="24"/>
              </w:rPr>
              <w:t>20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、有自我和职业分析，有职业决策。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21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2"/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、有短期、中期、长期计划，有具体实施方案；有目标及策略校正调整方案和职业道德阐述。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51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科学性（</w:t>
            </w:r>
            <w:r>
              <w:rPr>
                <w:rStyle w:val="a4"/>
                <w:rFonts w:ascii="仿宋_GB2312" w:eastAsia="仿宋_GB2312" w:cs="仿宋_GB2312"/>
                <w:b/>
                <w:color w:val="auto"/>
                <w:sz w:val="24"/>
                <w:szCs w:val="24"/>
              </w:rPr>
              <w:t>20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 w:rsidP="00A65293">
            <w:pPr>
              <w:ind w:leftChars="228" w:left="841" w:hangingChars="150" w:hanging="36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、能对自身及外部环境进行全面、科学、客观的分析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51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2"/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 w:rsidP="00A65293">
            <w:pPr>
              <w:ind w:leftChars="228" w:left="841" w:hangingChars="150" w:hanging="36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、能结合自我分析及外部环境设立合理的职业目标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51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操作性（</w:t>
            </w:r>
            <w:r>
              <w:rPr>
                <w:rStyle w:val="a4"/>
                <w:rFonts w:ascii="仿宋_GB2312" w:eastAsia="仿宋_GB2312" w:cs="仿宋_GB2312"/>
                <w:b/>
                <w:color w:val="auto"/>
                <w:sz w:val="24"/>
                <w:szCs w:val="24"/>
              </w:rPr>
              <w:t>15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 w:rsidP="00A65293">
            <w:pPr>
              <w:ind w:leftChars="228" w:left="841" w:hangingChars="150" w:hanging="36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、能根据职业目标指定合理的短、中、长期计划。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2"/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、具体实施方案切实可行，具有说服力。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创新性（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5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、视角新颖，见解独特，具有创造性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逻辑性（</w:t>
            </w:r>
            <w:r>
              <w:rPr>
                <w:rStyle w:val="a4"/>
                <w:rFonts w:ascii="仿宋_GB2312" w:eastAsia="仿宋_GB2312" w:cs="仿宋_GB2312"/>
                <w:b/>
                <w:color w:val="auto"/>
                <w:sz w:val="24"/>
                <w:szCs w:val="24"/>
              </w:rPr>
              <w:t>5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、条理清楚，组织合理，把握核心与关键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美观性（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5</w:t>
            </w: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、格式清晰，版面美观，形式新颖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:rsidR="00170D26" w:rsidRDefault="00170D26">
      <w:pPr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2833D1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表</w:t>
      </w: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2</w:t>
      </w: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：第十二届大学生职业生涯规划大赛复赛选手提问答题评分标准</w:t>
      </w: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441"/>
        <w:gridCol w:w="709"/>
        <w:gridCol w:w="1275"/>
      </w:tblGrid>
      <w:tr w:rsidR="00170D26">
        <w:trPr>
          <w:trHeight w:val="52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ind w:firstLineChars="200" w:firstLine="482"/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选手得分</w:t>
            </w:r>
          </w:p>
        </w:tc>
      </w:tr>
      <w:tr w:rsidR="00170D26">
        <w:trPr>
          <w:trHeight w:val="40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仪表风范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、服装整洁，仪表端庄，表情动作，丰富得当。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70D26">
        <w:trPr>
          <w:trHeight w:val="606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语言表达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、口齿清晰，语言流畅；语气语调，节奏恰当。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55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演讲内容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2833D1">
            <w:pPr>
              <w:ind w:firstLineChars="200" w:firstLine="480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</w:t>
            </w: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、紧扣主题，结构完整；内容充实，语言优美。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</w:tbl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170D26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</w:p>
    <w:p w:rsidR="00170D26" w:rsidRDefault="002833D1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表</w:t>
      </w:r>
      <w:r>
        <w:rPr>
          <w:rStyle w:val="a4"/>
          <w:rFonts w:ascii="仿宋_GB2312" w:eastAsia="仿宋_GB2312" w:cs="仿宋_GB2312"/>
          <w:b/>
          <w:color w:val="auto"/>
          <w:sz w:val="24"/>
          <w:szCs w:val="24"/>
        </w:rPr>
        <w:t>3</w:t>
      </w: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：第十二届大学生职业生涯规划大赛决赛现场展示评分表</w:t>
      </w:r>
    </w:p>
    <w:p w:rsidR="00170D26" w:rsidRDefault="00170D26">
      <w:pPr>
        <w:jc w:val="center"/>
        <w:rPr>
          <w:rStyle w:val="a4"/>
          <w:rFonts w:ascii="仿宋_GB2312" w:eastAsia="仿宋_GB2312"/>
          <w:b/>
          <w:sz w:val="24"/>
          <w:szCs w:val="24"/>
        </w:rPr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5146"/>
        <w:gridCol w:w="833"/>
        <w:gridCol w:w="981"/>
      </w:tblGrid>
      <w:tr w:rsidR="00170D26">
        <w:trPr>
          <w:trHeight w:val="47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选手得分情况</w:t>
            </w:r>
          </w:p>
        </w:tc>
      </w:tr>
      <w:tr w:rsidR="00170D26">
        <w:trPr>
          <w:trHeight w:val="421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规划书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制作美观，版面干净，打印清晰，审阅舒适。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51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PPT</w:t>
            </w: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制作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PPT</w:t>
            </w: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制作美观，条理清晰。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表达的完整性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能够准确表达作品内容，准确把握职业规划设计的核心和关键。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自我表达力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选手必须脱稿陈述，普通话要标准清晰，语言流畅，语速适中，表达简洁。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表达生动性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表现力强，有感染力，</w:t>
            </w:r>
            <w:proofErr w:type="gramStart"/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控场灵活</w:t>
            </w:r>
            <w:proofErr w:type="gramEnd"/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有效，能够调动观众气氛，现场互动效果优良。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仪态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color w:val="auto"/>
                <w:sz w:val="24"/>
                <w:szCs w:val="24"/>
              </w:rPr>
              <w:t>着装得体，仪态端庄、大方、美观。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7</w:t>
            </w:r>
            <w:r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26" w:rsidRDefault="00170D26">
            <w:pPr>
              <w:ind w:firstLineChars="200" w:firstLine="480"/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:rsidR="00170D26" w:rsidRDefault="00170D26">
      <w:pPr>
        <w:rPr>
          <w:rStyle w:val="a4"/>
          <w:rFonts w:ascii="仿宋_GB2312" w:eastAsia="仿宋_GB2312"/>
          <w:color w:val="auto"/>
          <w:sz w:val="24"/>
          <w:szCs w:val="24"/>
        </w:rPr>
      </w:pPr>
    </w:p>
    <w:p w:rsidR="00170D26" w:rsidRDefault="00170D26">
      <w:pPr>
        <w:rPr>
          <w:rStyle w:val="a4"/>
          <w:rFonts w:ascii="仿宋_GB2312" w:eastAsia="仿宋_GB2312"/>
          <w:color w:val="auto"/>
          <w:sz w:val="24"/>
          <w:szCs w:val="24"/>
        </w:rPr>
      </w:pPr>
    </w:p>
    <w:p w:rsidR="00170D26" w:rsidRDefault="00170D26">
      <w:pPr>
        <w:rPr>
          <w:rStyle w:val="a4"/>
          <w:rFonts w:ascii="仿宋_GB2312" w:eastAsia="仿宋_GB2312"/>
          <w:color w:val="auto"/>
          <w:sz w:val="24"/>
          <w:szCs w:val="24"/>
        </w:rPr>
      </w:pPr>
    </w:p>
    <w:p w:rsidR="00170D26" w:rsidRDefault="002833D1">
      <w:pPr>
        <w:jc w:val="center"/>
        <w:rPr>
          <w:rStyle w:val="a4"/>
          <w:rFonts w:ascii="仿宋_GB2312" w:eastAsia="仿宋_GB2312" w:cs="仿宋_GB2312"/>
          <w:b/>
          <w:color w:val="auto"/>
          <w:sz w:val="24"/>
          <w:szCs w:val="24"/>
        </w:rPr>
      </w:pP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表</w:t>
      </w:r>
      <w:r>
        <w:rPr>
          <w:rStyle w:val="a4"/>
          <w:rFonts w:ascii="仿宋_GB2312" w:eastAsia="仿宋_GB2312" w:cs="仿宋_GB2312"/>
          <w:b/>
          <w:color w:val="auto"/>
          <w:sz w:val="24"/>
          <w:szCs w:val="24"/>
        </w:rPr>
        <w:t>4</w:t>
      </w:r>
      <w:r>
        <w:rPr>
          <w:rStyle w:val="a4"/>
          <w:rFonts w:ascii="仿宋_GB2312" w:eastAsia="仿宋_GB2312" w:cs="仿宋_GB2312" w:hint="eastAsia"/>
          <w:b/>
          <w:color w:val="auto"/>
          <w:sz w:val="24"/>
          <w:szCs w:val="24"/>
        </w:rPr>
        <w:t>：第十二届大学生职业生涯规划大赛决赛现场答辩评分表</w:t>
      </w:r>
    </w:p>
    <w:p w:rsidR="00170D26" w:rsidRDefault="00170D26">
      <w:pPr>
        <w:jc w:val="center"/>
        <w:rPr>
          <w:rStyle w:val="a4"/>
          <w:rFonts w:ascii="仿宋_GB2312" w:eastAsia="仿宋_GB2312"/>
          <w:b/>
          <w:color w:val="auto"/>
          <w:sz w:val="24"/>
          <w:szCs w:val="24"/>
        </w:rPr>
      </w:pPr>
    </w:p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21"/>
        <w:gridCol w:w="816"/>
        <w:gridCol w:w="1269"/>
      </w:tblGrid>
      <w:tr w:rsidR="00170D26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Fonts w:ascii="仿宋_GB2312" w:eastAsia="仿宋_GB2312"/>
                <w:bCs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Fonts w:ascii="仿宋_GB2312" w:eastAsia="仿宋_GB2312"/>
                <w:bCs w:val="0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 w:val="0"/>
                <w:color w:val="auto"/>
                <w:sz w:val="24"/>
                <w:szCs w:val="24"/>
              </w:rPr>
              <w:t>选手得分</w:t>
            </w:r>
          </w:p>
        </w:tc>
      </w:tr>
      <w:tr w:rsidR="00170D2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准确性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2833D1">
            <w:pPr>
              <w:ind w:firstLineChars="200" w:firstLine="480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color w:val="auto"/>
                <w:sz w:val="24"/>
                <w:szCs w:val="24"/>
              </w:rPr>
              <w:t>准确回答专家所提出的问题，内容完整。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70D2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条理性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2833D1">
            <w:pPr>
              <w:ind w:firstLineChars="200" w:firstLine="480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color w:val="auto"/>
                <w:sz w:val="24"/>
                <w:szCs w:val="24"/>
              </w:rPr>
              <w:t>逻辑清晰，语言组织能力强。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70D2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Style w:val="a4"/>
                <w:rFonts w:ascii="仿宋_GB2312" w:eastAsia="仿宋_GB2312" w:hint="eastAsia"/>
                <w:b/>
                <w:color w:val="auto"/>
                <w:sz w:val="24"/>
                <w:szCs w:val="24"/>
              </w:rPr>
              <w:t>把控性</w:t>
            </w:r>
            <w:proofErr w:type="gramEnd"/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2833D1">
            <w:pPr>
              <w:ind w:firstLineChars="200" w:firstLine="480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color w:val="auto"/>
                <w:sz w:val="24"/>
                <w:szCs w:val="24"/>
              </w:rPr>
              <w:t>思路敏捷，现场把控能力强。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70D26">
        <w:trPr>
          <w:trHeight w:val="4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26" w:rsidRDefault="002833D1">
            <w:pPr>
              <w:jc w:val="center"/>
              <w:rPr>
                <w:rStyle w:val="a4"/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cs="仿宋_GB2312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26" w:rsidRDefault="00170D26">
            <w:pPr>
              <w:ind w:firstLineChars="200" w:firstLine="48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</w:tbl>
    <w:p w:rsidR="00170D26" w:rsidRDefault="00170D26">
      <w:pPr>
        <w:ind w:firstLineChars="200" w:firstLine="422"/>
        <w:rPr>
          <w:rFonts w:ascii="仿宋_GB2312"/>
        </w:rPr>
      </w:pPr>
    </w:p>
    <w:p w:rsidR="00170D26" w:rsidRDefault="00170D26"/>
    <w:p w:rsidR="00170D26" w:rsidRDefault="00170D26"/>
    <w:sectPr w:rsidR="00170D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D1" w:rsidRDefault="002833D1">
      <w:r>
        <w:separator/>
      </w:r>
    </w:p>
  </w:endnote>
  <w:endnote w:type="continuationSeparator" w:id="0">
    <w:p w:rsidR="002833D1" w:rsidRDefault="0028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26" w:rsidRDefault="002833D1">
    <w:pPr>
      <w:pStyle w:val="a3"/>
      <w:ind w:firstLineChars="98" w:firstLine="27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170D26" w:rsidRDefault="00170D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26" w:rsidRDefault="002833D1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65293" w:rsidRPr="00A65293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  <w:p w:rsidR="00170D26" w:rsidRDefault="00170D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D1" w:rsidRDefault="002833D1">
      <w:r>
        <w:separator/>
      </w:r>
    </w:p>
  </w:footnote>
  <w:footnote w:type="continuationSeparator" w:id="0">
    <w:p w:rsidR="002833D1" w:rsidRDefault="0028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6386E"/>
    <w:multiLevelType w:val="singleLevel"/>
    <w:tmpl w:val="8D0638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26"/>
    <w:rsid w:val="00170D26"/>
    <w:rsid w:val="002833D1"/>
    <w:rsid w:val="00A65293"/>
    <w:rsid w:val="1A4C0951"/>
    <w:rsid w:val="26C07AF8"/>
    <w:rsid w:val="2B722677"/>
    <w:rsid w:val="441811BB"/>
    <w:rsid w:val="47D74B4F"/>
    <w:rsid w:val="49817EAB"/>
    <w:rsid w:val="55896239"/>
    <w:rsid w:val="61A70654"/>
    <w:rsid w:val="66EC2FBE"/>
    <w:rsid w:val="69B8615A"/>
    <w:rsid w:val="74024B59"/>
    <w:rsid w:val="76FA0DF9"/>
    <w:rsid w:val="7F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bCs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color w:val="auto"/>
      <w:sz w:val="18"/>
      <w:szCs w:val="18"/>
    </w:rPr>
  </w:style>
  <w:style w:type="character" w:styleId="a4">
    <w:name w:val="Strong"/>
    <w:qFormat/>
    <w:rPr>
      <w:rFonts w:ascii="Times New Roman" w:eastAsia="宋体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bCs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color w:val="auto"/>
      <w:sz w:val="18"/>
      <w:szCs w:val="18"/>
    </w:rPr>
  </w:style>
  <w:style w:type="character" w:styleId="a4">
    <w:name w:val="Strong"/>
    <w:qFormat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Administrator.BF-20191103JVPD</dc:creator>
  <cp:lastModifiedBy>拂晓得悦</cp:lastModifiedBy>
  <cp:revision>2</cp:revision>
  <dcterms:created xsi:type="dcterms:W3CDTF">2020-10-14T06:39:00Z</dcterms:created>
  <dcterms:modified xsi:type="dcterms:W3CDTF">2020-10-15T04:48:00Z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